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099EB1" w:rsidR="00435F0F" w:rsidRPr="00FE748A" w:rsidRDefault="00F80D4C" w:rsidP="00FD2C93">
      <w:pPr>
        <w:spacing w:after="240"/>
        <w:rPr>
          <w:rFonts w:ascii="Helvetica" w:hAnsi="Helvetica" w:cs="Helvetica"/>
          <w:b/>
          <w:color w:val="1B1B1B"/>
          <w:sz w:val="24"/>
          <w:szCs w:val="24"/>
        </w:rPr>
      </w:pPr>
      <w:r w:rsidRPr="00FE748A">
        <w:rPr>
          <w:rFonts w:ascii="Helvetica" w:hAnsi="Helvetica" w:cs="Helvetica"/>
          <w:b/>
          <w:color w:val="1B1B1B"/>
          <w:sz w:val="24"/>
          <w:szCs w:val="24"/>
        </w:rPr>
        <w:t xml:space="preserve">M&amp;IE Breakdown, FY 2022 </w:t>
      </w:r>
      <w:r w:rsidR="00C03145">
        <w:rPr>
          <w:rFonts w:ascii="Helvetica" w:hAnsi="Helvetica" w:cs="Helvetica"/>
          <w:b/>
          <w:color w:val="1B1B1B"/>
          <w:sz w:val="24"/>
          <w:szCs w:val="24"/>
        </w:rPr>
        <w:t>–</w:t>
      </w:r>
      <w:r w:rsidRPr="00FE748A">
        <w:rPr>
          <w:rFonts w:ascii="Helvetica" w:hAnsi="Helvetica" w:cs="Helvetica"/>
          <w:b/>
          <w:color w:val="1B1B1B"/>
          <w:sz w:val="24"/>
          <w:szCs w:val="24"/>
        </w:rPr>
        <w:t xml:space="preserve"> </w:t>
      </w:r>
      <w:r w:rsidR="00C03145">
        <w:rPr>
          <w:rFonts w:ascii="Helvetica" w:hAnsi="Helvetica" w:cs="Helvetica"/>
          <w:b/>
          <w:color w:val="1B1B1B"/>
          <w:sz w:val="24"/>
          <w:szCs w:val="24"/>
        </w:rPr>
        <w:t>FY 2024</w:t>
      </w:r>
    </w:p>
    <w:tbl>
      <w:tblPr>
        <w:tblStyle w:val="a"/>
        <w:tblW w:w="0" w:type="auto"/>
        <w:tblLook w:val="04A0" w:firstRow="1" w:lastRow="0" w:firstColumn="1" w:lastColumn="0" w:noHBand="0" w:noVBand="1"/>
      </w:tblPr>
      <w:tblGrid>
        <w:gridCol w:w="1170"/>
        <w:gridCol w:w="2747"/>
        <w:gridCol w:w="976"/>
        <w:gridCol w:w="1017"/>
        <w:gridCol w:w="1783"/>
        <w:gridCol w:w="1651"/>
      </w:tblGrid>
      <w:tr w:rsidR="00FE748A" w:rsidRPr="00FE748A" w14:paraId="01A47BF5" w14:textId="77777777">
        <w:trPr>
          <w:trHeight w:val="705"/>
        </w:trPr>
        <w:tc>
          <w:tcPr>
            <w:tcW w:w="0" w:type="auto"/>
            <w:tcBorders>
              <w:top w:val="single" w:sz="6" w:space="0" w:color="000000"/>
              <w:left w:val="single" w:sz="6" w:space="0" w:color="000000"/>
              <w:bottom w:val="single" w:sz="6" w:space="0" w:color="000000"/>
              <w:right w:val="single" w:sz="6" w:space="0" w:color="000000"/>
            </w:tcBorders>
            <w:shd w:val="clear" w:color="auto" w:fill="EFEADF"/>
            <w:tcMar>
              <w:top w:w="40" w:type="dxa"/>
              <w:left w:w="40" w:type="dxa"/>
              <w:bottom w:w="40" w:type="dxa"/>
              <w:right w:w="40" w:type="dxa"/>
            </w:tcMar>
            <w:vAlign w:val="bottom"/>
          </w:tcPr>
          <w:p w14:paraId="00000002"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M&amp;IE Total (1)</w:t>
            </w:r>
          </w:p>
        </w:tc>
        <w:tc>
          <w:tcPr>
            <w:tcW w:w="0" w:type="auto"/>
            <w:tcBorders>
              <w:top w:val="single" w:sz="6" w:space="0" w:color="000000"/>
              <w:left w:val="single" w:sz="6" w:space="0" w:color="CCCCCC"/>
              <w:bottom w:val="single" w:sz="6" w:space="0" w:color="000000"/>
              <w:right w:val="single" w:sz="6" w:space="0" w:color="000000"/>
            </w:tcBorders>
            <w:shd w:val="clear" w:color="auto" w:fill="EFEADF"/>
            <w:tcMar>
              <w:top w:w="40" w:type="dxa"/>
              <w:left w:w="40" w:type="dxa"/>
              <w:bottom w:w="40" w:type="dxa"/>
              <w:right w:w="40" w:type="dxa"/>
            </w:tcMar>
            <w:vAlign w:val="bottom"/>
          </w:tcPr>
          <w:p w14:paraId="00000003"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Continental Breakfast/ Breakfast (2)</w:t>
            </w:r>
          </w:p>
        </w:tc>
        <w:tc>
          <w:tcPr>
            <w:tcW w:w="0" w:type="auto"/>
            <w:tcBorders>
              <w:top w:val="single" w:sz="6" w:space="0" w:color="000000"/>
              <w:left w:val="single" w:sz="6" w:space="0" w:color="CCCCCC"/>
              <w:bottom w:val="single" w:sz="6" w:space="0" w:color="000000"/>
              <w:right w:val="single" w:sz="6" w:space="0" w:color="000000"/>
            </w:tcBorders>
            <w:shd w:val="clear" w:color="auto" w:fill="EFEADF"/>
            <w:tcMar>
              <w:top w:w="40" w:type="dxa"/>
              <w:left w:w="40" w:type="dxa"/>
              <w:bottom w:w="40" w:type="dxa"/>
              <w:right w:w="40" w:type="dxa"/>
            </w:tcMar>
            <w:vAlign w:val="bottom"/>
          </w:tcPr>
          <w:p w14:paraId="00000004"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Lunch (2)</w:t>
            </w:r>
          </w:p>
        </w:tc>
        <w:tc>
          <w:tcPr>
            <w:tcW w:w="0" w:type="auto"/>
            <w:tcBorders>
              <w:top w:val="single" w:sz="6" w:space="0" w:color="000000"/>
              <w:left w:val="single" w:sz="6" w:space="0" w:color="CCCCCC"/>
              <w:bottom w:val="single" w:sz="6" w:space="0" w:color="000000"/>
              <w:right w:val="single" w:sz="6" w:space="0" w:color="000000"/>
            </w:tcBorders>
            <w:shd w:val="clear" w:color="auto" w:fill="EFEADF"/>
            <w:tcMar>
              <w:top w:w="40" w:type="dxa"/>
              <w:left w:w="40" w:type="dxa"/>
              <w:bottom w:w="40" w:type="dxa"/>
              <w:right w:w="40" w:type="dxa"/>
            </w:tcMar>
            <w:vAlign w:val="bottom"/>
          </w:tcPr>
          <w:p w14:paraId="00000005"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Dinner (2)</w:t>
            </w:r>
          </w:p>
        </w:tc>
        <w:tc>
          <w:tcPr>
            <w:tcW w:w="0" w:type="auto"/>
            <w:tcBorders>
              <w:top w:val="single" w:sz="6" w:space="0" w:color="000000"/>
              <w:left w:val="single" w:sz="6" w:space="0" w:color="CCCCCC"/>
              <w:bottom w:val="single" w:sz="6" w:space="0" w:color="000000"/>
              <w:right w:val="single" w:sz="6" w:space="0" w:color="000000"/>
            </w:tcBorders>
            <w:shd w:val="clear" w:color="auto" w:fill="EFEADF"/>
            <w:tcMar>
              <w:top w:w="40" w:type="dxa"/>
              <w:left w:w="40" w:type="dxa"/>
              <w:bottom w:w="40" w:type="dxa"/>
              <w:right w:w="40" w:type="dxa"/>
            </w:tcMar>
            <w:vAlign w:val="bottom"/>
          </w:tcPr>
          <w:p w14:paraId="00000006"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Incidental Expenses</w:t>
            </w:r>
          </w:p>
        </w:tc>
        <w:tc>
          <w:tcPr>
            <w:tcW w:w="0" w:type="auto"/>
            <w:tcBorders>
              <w:top w:val="single" w:sz="6" w:space="0" w:color="000000"/>
              <w:left w:val="single" w:sz="6" w:space="0" w:color="CCCCCC"/>
              <w:bottom w:val="single" w:sz="6" w:space="0" w:color="000000"/>
              <w:right w:val="single" w:sz="6" w:space="0" w:color="000000"/>
            </w:tcBorders>
            <w:shd w:val="clear" w:color="auto" w:fill="EFEADF"/>
            <w:tcMar>
              <w:top w:w="40" w:type="dxa"/>
              <w:left w:w="40" w:type="dxa"/>
              <w:bottom w:w="40" w:type="dxa"/>
              <w:right w:w="40" w:type="dxa"/>
            </w:tcMar>
            <w:vAlign w:val="bottom"/>
          </w:tcPr>
          <w:p w14:paraId="00000007"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First and Last Day (3)</w:t>
            </w:r>
          </w:p>
        </w:tc>
      </w:tr>
      <w:tr w:rsidR="00FE748A" w:rsidRPr="00FE748A" w14:paraId="1E341E5A" w14:textId="77777777">
        <w:trPr>
          <w:trHeight w:val="390"/>
        </w:trPr>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08"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$59</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09"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$13</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0A"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$15</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0B"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$26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0C"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0D"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$44.25</w:t>
            </w:r>
          </w:p>
        </w:tc>
      </w:tr>
      <w:tr w:rsidR="00FE748A" w:rsidRPr="00FE748A" w14:paraId="507D2CF3" w14:textId="77777777">
        <w:trPr>
          <w:trHeight w:val="390"/>
        </w:trPr>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0E"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$64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0F"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0"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1"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$29</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2"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3"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$48.00</w:t>
            </w:r>
          </w:p>
        </w:tc>
      </w:tr>
      <w:tr w:rsidR="00FE748A" w:rsidRPr="00FE748A" w14:paraId="6D324BD7" w14:textId="77777777">
        <w:trPr>
          <w:trHeight w:val="390"/>
        </w:trPr>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14"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$69</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5"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6"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7"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$31</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8"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9"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$51.75</w:t>
            </w:r>
          </w:p>
        </w:tc>
      </w:tr>
      <w:tr w:rsidR="00FE748A" w:rsidRPr="00FE748A" w14:paraId="3D946C4B" w14:textId="77777777">
        <w:trPr>
          <w:trHeight w:val="390"/>
        </w:trPr>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1A"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$74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B"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C"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D"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$34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E"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1F"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$55.50</w:t>
            </w:r>
          </w:p>
        </w:tc>
      </w:tr>
      <w:tr w:rsidR="00FE748A" w:rsidRPr="00FE748A" w14:paraId="020B5663" w14:textId="77777777">
        <w:trPr>
          <w:trHeight w:val="390"/>
        </w:trPr>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20" w14:textId="77777777" w:rsidR="00435F0F" w:rsidRPr="00FE748A" w:rsidRDefault="00F80D4C">
            <w:pPr>
              <w:widowControl w:val="0"/>
              <w:jc w:val="center"/>
              <w:rPr>
                <w:rFonts w:ascii="Helvetica" w:hAnsi="Helvetica" w:cs="Helvetica"/>
                <w:color w:val="1B1B1B"/>
                <w:sz w:val="24"/>
                <w:szCs w:val="24"/>
              </w:rPr>
            </w:pPr>
            <w:r w:rsidRPr="00FE748A">
              <w:rPr>
                <w:rFonts w:ascii="Helvetica" w:hAnsi="Helvetica" w:cs="Helvetica"/>
                <w:b/>
                <w:color w:val="1B1B1B"/>
                <w:sz w:val="24"/>
                <w:szCs w:val="24"/>
              </w:rPr>
              <w:t>$79</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21"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22"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$20</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23"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$36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24"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25" w14:textId="77777777" w:rsidR="00435F0F" w:rsidRPr="00FE748A" w:rsidRDefault="00F80D4C">
            <w:pPr>
              <w:widowControl w:val="0"/>
              <w:jc w:val="center"/>
              <w:rPr>
                <w:rFonts w:ascii="Helvetica" w:hAnsi="Helvetica" w:cs="Helvetica"/>
                <w:bCs/>
                <w:color w:val="1B1B1B"/>
                <w:sz w:val="24"/>
                <w:szCs w:val="24"/>
              </w:rPr>
            </w:pPr>
            <w:r w:rsidRPr="00FE748A">
              <w:rPr>
                <w:rFonts w:ascii="Helvetica" w:hAnsi="Helvetica" w:cs="Helvetica"/>
                <w:bCs/>
                <w:color w:val="1B1B1B"/>
                <w:sz w:val="24"/>
                <w:szCs w:val="24"/>
              </w:rPr>
              <w:t>$59.25</w:t>
            </w:r>
          </w:p>
        </w:tc>
      </w:tr>
    </w:tbl>
    <w:p w14:paraId="00000027" w14:textId="77777777" w:rsidR="00435F0F" w:rsidRPr="00FE748A" w:rsidRDefault="00F80D4C" w:rsidP="00FE748A">
      <w:pPr>
        <w:numPr>
          <w:ilvl w:val="0"/>
          <w:numId w:val="1"/>
        </w:numPr>
        <w:spacing w:before="240" w:line="240" w:lineRule="auto"/>
        <w:rPr>
          <w:rFonts w:ascii="Helvetica" w:hAnsi="Helvetica" w:cs="Helvetica"/>
          <w:color w:val="1B1B1B"/>
          <w:sz w:val="24"/>
          <w:szCs w:val="24"/>
        </w:rPr>
      </w:pPr>
      <w:r w:rsidRPr="00FE748A">
        <w:rPr>
          <w:rFonts w:ascii="Helvetica" w:hAnsi="Helvetica" w:cs="Helvetica"/>
          <w:color w:val="1B1B1B"/>
          <w:sz w:val="24"/>
          <w:szCs w:val="24"/>
        </w:rPr>
        <w:t>This column lists the full daily amount federal employees receive for a single calendar day of travel when that day is neither the first nor last day of travel.</w:t>
      </w:r>
    </w:p>
    <w:p w14:paraId="00000028" w14:textId="77777777" w:rsidR="00435F0F" w:rsidRPr="00FE748A" w:rsidRDefault="00F80D4C" w:rsidP="00FE748A">
      <w:pPr>
        <w:numPr>
          <w:ilvl w:val="0"/>
          <w:numId w:val="1"/>
        </w:numPr>
        <w:spacing w:line="240" w:lineRule="auto"/>
        <w:rPr>
          <w:rFonts w:ascii="Helvetica" w:hAnsi="Helvetica" w:cs="Helvetica"/>
          <w:color w:val="1B1B1B"/>
          <w:sz w:val="24"/>
          <w:szCs w:val="24"/>
        </w:rPr>
      </w:pPr>
      <w:r w:rsidRPr="00FE748A">
        <w:rPr>
          <w:rFonts w:ascii="Helvetica" w:hAnsi="Helvetica" w:cs="Helvetica"/>
          <w:color w:val="1B1B1B"/>
          <w:sz w:val="24"/>
          <w:szCs w:val="24"/>
        </w:rPr>
        <w:t>The separate amounts for breakfast, lunch and dinner listed in the chart are provided should you need to deduct any of those meals from your trip voucher. For example, if your trip includes meals that are already paid for by the government (such as through a registration fee for a conference), you will need to deduct those meals from your voucher. Refer to Section 301-11.18 of the Federal Travel Regulation for specific guidance on deducting these amounts from your per diem reimbursement claims for meals furnished to you by the government. Other organizations may have different rules that apply for their employees; please check with your organization for more assistance.</w:t>
      </w:r>
    </w:p>
    <w:p w14:paraId="1B6B39AD" w14:textId="69E095C7" w:rsidR="00FE748A" w:rsidRPr="00FE748A" w:rsidRDefault="00F80D4C" w:rsidP="00FE748A">
      <w:pPr>
        <w:numPr>
          <w:ilvl w:val="0"/>
          <w:numId w:val="1"/>
        </w:numPr>
        <w:spacing w:line="240" w:lineRule="auto"/>
        <w:rPr>
          <w:color w:val="1B1B1B"/>
        </w:rPr>
      </w:pPr>
      <w:r w:rsidRPr="00FE748A">
        <w:rPr>
          <w:rFonts w:ascii="Helvetica" w:hAnsi="Helvetica" w:cs="Helvetica"/>
          <w:color w:val="1B1B1B"/>
          <w:sz w:val="24"/>
          <w:szCs w:val="24"/>
        </w:rPr>
        <w:t>This column lists the amount federal employees receive for the first and last calendar day of travel. The first and last calendar day of travel is calculated at 75 percent</w:t>
      </w:r>
      <w:r w:rsidRPr="00FE748A">
        <w:rPr>
          <w:color w:val="1B1B1B"/>
        </w:rPr>
        <w:t>.</w:t>
      </w:r>
    </w:p>
    <w:sectPr w:rsidR="00FE748A" w:rsidRPr="00FE748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8BFD" w14:textId="77777777" w:rsidR="00F54B3A" w:rsidRDefault="00F54B3A" w:rsidP="000A5770">
      <w:pPr>
        <w:spacing w:line="240" w:lineRule="auto"/>
      </w:pPr>
      <w:r>
        <w:separator/>
      </w:r>
    </w:p>
  </w:endnote>
  <w:endnote w:type="continuationSeparator" w:id="0">
    <w:p w14:paraId="557C5DA2" w14:textId="77777777" w:rsidR="00F54B3A" w:rsidRDefault="00F54B3A" w:rsidP="000A5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55C4" w14:textId="77777777" w:rsidR="00F54B3A" w:rsidRDefault="00F54B3A" w:rsidP="000A5770">
      <w:pPr>
        <w:spacing w:line="240" w:lineRule="auto"/>
      </w:pPr>
      <w:r>
        <w:separator/>
      </w:r>
    </w:p>
  </w:footnote>
  <w:footnote w:type="continuationSeparator" w:id="0">
    <w:p w14:paraId="501E82F5" w14:textId="77777777" w:rsidR="00F54B3A" w:rsidRDefault="00F54B3A" w:rsidP="000A57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7119"/>
    <w:multiLevelType w:val="hybridMultilevel"/>
    <w:tmpl w:val="4202AD40"/>
    <w:lvl w:ilvl="0" w:tplc="EBA268C0">
      <w:start w:val="1"/>
      <w:numFmt w:val="decimal"/>
      <w:lvlText w:val="%1."/>
      <w:lvlJc w:val="left"/>
      <w:pPr>
        <w:ind w:left="720" w:hanging="360"/>
      </w:pPr>
      <w:rPr>
        <w:u w:val="none"/>
      </w:rPr>
    </w:lvl>
    <w:lvl w:ilvl="1" w:tplc="E5EAD4E0">
      <w:start w:val="1"/>
      <w:numFmt w:val="lowerLetter"/>
      <w:lvlText w:val="%2."/>
      <w:lvlJc w:val="left"/>
      <w:pPr>
        <w:ind w:left="1440" w:hanging="360"/>
      </w:pPr>
      <w:rPr>
        <w:u w:val="none"/>
      </w:rPr>
    </w:lvl>
    <w:lvl w:ilvl="2" w:tplc="13505F78">
      <w:start w:val="1"/>
      <w:numFmt w:val="lowerRoman"/>
      <w:lvlText w:val="%3."/>
      <w:lvlJc w:val="right"/>
      <w:pPr>
        <w:ind w:left="2160" w:hanging="360"/>
      </w:pPr>
      <w:rPr>
        <w:u w:val="none"/>
      </w:rPr>
    </w:lvl>
    <w:lvl w:ilvl="3" w:tplc="03787B6E">
      <w:start w:val="1"/>
      <w:numFmt w:val="decimal"/>
      <w:lvlText w:val="%4."/>
      <w:lvlJc w:val="left"/>
      <w:pPr>
        <w:ind w:left="2880" w:hanging="360"/>
      </w:pPr>
      <w:rPr>
        <w:u w:val="none"/>
      </w:rPr>
    </w:lvl>
    <w:lvl w:ilvl="4" w:tplc="883E34CA">
      <w:start w:val="1"/>
      <w:numFmt w:val="lowerLetter"/>
      <w:lvlText w:val="%5."/>
      <w:lvlJc w:val="left"/>
      <w:pPr>
        <w:ind w:left="3600" w:hanging="360"/>
      </w:pPr>
      <w:rPr>
        <w:u w:val="none"/>
      </w:rPr>
    </w:lvl>
    <w:lvl w:ilvl="5" w:tplc="B59E0052">
      <w:start w:val="1"/>
      <w:numFmt w:val="lowerRoman"/>
      <w:lvlText w:val="%6."/>
      <w:lvlJc w:val="right"/>
      <w:pPr>
        <w:ind w:left="4320" w:hanging="360"/>
      </w:pPr>
      <w:rPr>
        <w:u w:val="none"/>
      </w:rPr>
    </w:lvl>
    <w:lvl w:ilvl="6" w:tplc="98BC082E">
      <w:start w:val="1"/>
      <w:numFmt w:val="decimal"/>
      <w:lvlText w:val="%7."/>
      <w:lvlJc w:val="left"/>
      <w:pPr>
        <w:ind w:left="5040" w:hanging="360"/>
      </w:pPr>
      <w:rPr>
        <w:u w:val="none"/>
      </w:rPr>
    </w:lvl>
    <w:lvl w:ilvl="7" w:tplc="0ABAE23A">
      <w:start w:val="1"/>
      <w:numFmt w:val="lowerLetter"/>
      <w:lvlText w:val="%8."/>
      <w:lvlJc w:val="left"/>
      <w:pPr>
        <w:ind w:left="5760" w:hanging="360"/>
      </w:pPr>
      <w:rPr>
        <w:u w:val="none"/>
      </w:rPr>
    </w:lvl>
    <w:lvl w:ilvl="8" w:tplc="7BB42076">
      <w:start w:val="1"/>
      <w:numFmt w:val="lowerRoman"/>
      <w:lvlText w:val="%9."/>
      <w:lvlJc w:val="right"/>
      <w:pPr>
        <w:ind w:left="6480" w:hanging="360"/>
      </w:pPr>
      <w:rPr>
        <w:u w:val="none"/>
      </w:rPr>
    </w:lvl>
  </w:abstractNum>
  <w:abstractNum w:abstractNumId="1" w15:restartNumberingAfterBreak="0">
    <w:nsid w:val="3CD7367A"/>
    <w:multiLevelType w:val="hybridMultilevel"/>
    <w:tmpl w:val="5C3E1578"/>
    <w:lvl w:ilvl="0" w:tplc="1AF0BAD6">
      <w:start w:val="1"/>
      <w:numFmt w:val="decimal"/>
      <w:lvlText w:val="%1."/>
      <w:lvlJc w:val="left"/>
      <w:pPr>
        <w:ind w:left="720" w:hanging="360"/>
      </w:pPr>
    </w:lvl>
    <w:lvl w:ilvl="1" w:tplc="5D5E3572">
      <w:start w:val="1"/>
      <w:numFmt w:val="decimal"/>
      <w:lvlText w:val="%2."/>
      <w:lvlJc w:val="left"/>
      <w:pPr>
        <w:ind w:left="1440" w:hanging="1080"/>
      </w:pPr>
    </w:lvl>
    <w:lvl w:ilvl="2" w:tplc="B3706868">
      <w:start w:val="1"/>
      <w:numFmt w:val="decimal"/>
      <w:lvlText w:val="%3."/>
      <w:lvlJc w:val="left"/>
      <w:pPr>
        <w:ind w:left="2160" w:hanging="1980"/>
      </w:pPr>
    </w:lvl>
    <w:lvl w:ilvl="3" w:tplc="DF7EA4CE">
      <w:start w:val="1"/>
      <w:numFmt w:val="decimal"/>
      <w:lvlText w:val="%4."/>
      <w:lvlJc w:val="left"/>
      <w:pPr>
        <w:ind w:left="2880" w:hanging="2520"/>
      </w:pPr>
    </w:lvl>
    <w:lvl w:ilvl="4" w:tplc="21F28F70">
      <w:start w:val="1"/>
      <w:numFmt w:val="decimal"/>
      <w:lvlText w:val="%5."/>
      <w:lvlJc w:val="left"/>
      <w:pPr>
        <w:ind w:left="3600" w:hanging="3240"/>
      </w:pPr>
    </w:lvl>
    <w:lvl w:ilvl="5" w:tplc="47DC397C">
      <w:start w:val="1"/>
      <w:numFmt w:val="decimal"/>
      <w:lvlText w:val="%6."/>
      <w:lvlJc w:val="left"/>
      <w:pPr>
        <w:ind w:left="4320" w:hanging="4140"/>
      </w:pPr>
    </w:lvl>
    <w:lvl w:ilvl="6" w:tplc="AFE42BAA">
      <w:start w:val="1"/>
      <w:numFmt w:val="decimal"/>
      <w:lvlText w:val="%7."/>
      <w:lvlJc w:val="left"/>
      <w:pPr>
        <w:ind w:left="5040" w:hanging="4680"/>
      </w:pPr>
    </w:lvl>
    <w:lvl w:ilvl="7" w:tplc="66008E42">
      <w:start w:val="1"/>
      <w:numFmt w:val="decimal"/>
      <w:lvlText w:val="%8."/>
      <w:lvlJc w:val="left"/>
      <w:pPr>
        <w:ind w:left="5760" w:hanging="5400"/>
      </w:pPr>
    </w:lvl>
    <w:lvl w:ilvl="8" w:tplc="ED2E7DE6">
      <w:start w:val="1"/>
      <w:numFmt w:val="decimal"/>
      <w:lvlText w:val="%9."/>
      <w:lvlJc w:val="left"/>
      <w:pPr>
        <w:ind w:left="6480" w:hanging="6300"/>
      </w:pPr>
    </w:lvl>
  </w:abstractNum>
  <w:abstractNum w:abstractNumId="2" w15:restartNumberingAfterBreak="0">
    <w:nsid w:val="5F045ECF"/>
    <w:multiLevelType w:val="hybridMultilevel"/>
    <w:tmpl w:val="C9D8E7A8"/>
    <w:lvl w:ilvl="0" w:tplc="D1C60E94">
      <w:numFmt w:val="bullet"/>
      <w:lvlText w:val=""/>
      <w:lvlJc w:val="left"/>
      <w:pPr>
        <w:ind w:left="720" w:hanging="360"/>
      </w:pPr>
      <w:rPr>
        <w:rFonts w:ascii="Symbol" w:hAnsi="Symbol"/>
      </w:rPr>
    </w:lvl>
    <w:lvl w:ilvl="1" w:tplc="8FF2AFC6">
      <w:numFmt w:val="bullet"/>
      <w:lvlText w:val="o"/>
      <w:lvlJc w:val="left"/>
      <w:pPr>
        <w:ind w:left="1440" w:hanging="1080"/>
      </w:pPr>
      <w:rPr>
        <w:rFonts w:ascii="Courier New" w:hAnsi="Courier New"/>
      </w:rPr>
    </w:lvl>
    <w:lvl w:ilvl="2" w:tplc="C75EDACE">
      <w:numFmt w:val="bullet"/>
      <w:lvlText w:val=""/>
      <w:lvlJc w:val="left"/>
      <w:pPr>
        <w:ind w:left="2160" w:hanging="1800"/>
      </w:pPr>
    </w:lvl>
    <w:lvl w:ilvl="3" w:tplc="A342B8FC">
      <w:numFmt w:val="bullet"/>
      <w:lvlText w:val=""/>
      <w:lvlJc w:val="left"/>
      <w:pPr>
        <w:ind w:left="2880" w:hanging="2520"/>
      </w:pPr>
      <w:rPr>
        <w:rFonts w:ascii="Symbol" w:hAnsi="Symbol"/>
      </w:rPr>
    </w:lvl>
    <w:lvl w:ilvl="4" w:tplc="367A4AFC">
      <w:numFmt w:val="bullet"/>
      <w:lvlText w:val="o"/>
      <w:lvlJc w:val="left"/>
      <w:pPr>
        <w:ind w:left="3600" w:hanging="3240"/>
      </w:pPr>
      <w:rPr>
        <w:rFonts w:ascii="Courier New" w:hAnsi="Courier New"/>
      </w:rPr>
    </w:lvl>
    <w:lvl w:ilvl="5" w:tplc="019C2006">
      <w:numFmt w:val="bullet"/>
      <w:lvlText w:val=""/>
      <w:lvlJc w:val="left"/>
      <w:pPr>
        <w:ind w:left="4320" w:hanging="3960"/>
      </w:pPr>
    </w:lvl>
    <w:lvl w:ilvl="6" w:tplc="D9843FD0">
      <w:numFmt w:val="bullet"/>
      <w:lvlText w:val=""/>
      <w:lvlJc w:val="left"/>
      <w:pPr>
        <w:ind w:left="5040" w:hanging="4680"/>
      </w:pPr>
      <w:rPr>
        <w:rFonts w:ascii="Symbol" w:hAnsi="Symbol"/>
      </w:rPr>
    </w:lvl>
    <w:lvl w:ilvl="7" w:tplc="776C0FD0">
      <w:numFmt w:val="bullet"/>
      <w:lvlText w:val="o"/>
      <w:lvlJc w:val="left"/>
      <w:pPr>
        <w:ind w:left="5760" w:hanging="5400"/>
      </w:pPr>
      <w:rPr>
        <w:rFonts w:ascii="Courier New" w:hAnsi="Courier New"/>
      </w:rPr>
    </w:lvl>
    <w:lvl w:ilvl="8" w:tplc="FFE466C2">
      <w:numFmt w:val="bullet"/>
      <w:lvlText w:val=""/>
      <w:lvlJc w:val="left"/>
      <w:pPr>
        <w:ind w:left="6480" w:hanging="6120"/>
      </w:pPr>
    </w:lvl>
  </w:abstractNum>
  <w:num w:numId="1" w16cid:durableId="2091539666">
    <w:abstractNumId w:val="0"/>
  </w:num>
  <w:num w:numId="2" w16cid:durableId="930235062">
    <w:abstractNumId w:val="2"/>
  </w:num>
  <w:num w:numId="3" w16cid:durableId="95140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F"/>
    <w:rsid w:val="000A5770"/>
    <w:rsid w:val="00196697"/>
    <w:rsid w:val="00435F0F"/>
    <w:rsid w:val="005446FF"/>
    <w:rsid w:val="00795CD6"/>
    <w:rsid w:val="00BB28C7"/>
    <w:rsid w:val="00C03145"/>
    <w:rsid w:val="00E91426"/>
    <w:rsid w:val="00F54B3A"/>
    <w:rsid w:val="00F80D4C"/>
    <w:rsid w:val="00FD2C93"/>
    <w:rsid w:val="00FE74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A5770"/>
    <w:pPr>
      <w:tabs>
        <w:tab w:val="center" w:pos="4680"/>
        <w:tab w:val="right" w:pos="9360"/>
      </w:tabs>
      <w:spacing w:line="240" w:lineRule="auto"/>
    </w:pPr>
  </w:style>
  <w:style w:type="character" w:customStyle="1" w:styleId="HeaderChar">
    <w:name w:val="Header Char"/>
    <w:basedOn w:val="DefaultParagraphFont"/>
    <w:link w:val="Header"/>
    <w:uiPriority w:val="99"/>
    <w:rsid w:val="000A5770"/>
  </w:style>
  <w:style w:type="paragraph" w:styleId="Footer">
    <w:name w:val="footer"/>
    <w:basedOn w:val="Normal"/>
    <w:link w:val="FooterChar"/>
    <w:uiPriority w:val="99"/>
    <w:unhideWhenUsed/>
    <w:rsid w:val="000A5770"/>
    <w:pPr>
      <w:tabs>
        <w:tab w:val="center" w:pos="4680"/>
        <w:tab w:val="right" w:pos="9360"/>
      </w:tabs>
      <w:spacing w:line="240" w:lineRule="auto"/>
    </w:pPr>
  </w:style>
  <w:style w:type="character" w:customStyle="1" w:styleId="FooterChar">
    <w:name w:val="Footer Char"/>
    <w:basedOn w:val="DefaultParagraphFont"/>
    <w:link w:val="Footer"/>
    <w:uiPriority w:val="99"/>
    <w:rsid w:val="000A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494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2021-07-27T17:19:00Z</dcterms:created>
  <dcterms:modified xsi:type="dcterms:W3CDTF">2024-08-06T18:11:00Z</dcterms:modified>
</cp:coreProperties>
</file>